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2E" w:rsidRPr="0095572E" w:rsidRDefault="0095572E" w:rsidP="0095572E">
      <w:pPr>
        <w:pStyle w:val="NormalWeb"/>
        <w:shd w:val="clear" w:color="auto" w:fill="FFFFFF"/>
        <w:rPr>
          <w:rFonts w:ascii="Arial" w:hAnsi="Arial" w:cs="Arial"/>
          <w:color w:val="424242"/>
          <w:sz w:val="22"/>
          <w:szCs w:val="22"/>
        </w:rPr>
      </w:pPr>
      <w:proofErr w:type="gramStart"/>
      <w:r w:rsidRPr="0095572E">
        <w:rPr>
          <w:rFonts w:ascii="Arial" w:hAnsi="Arial" w:cs="Arial"/>
          <w:color w:val="424242"/>
          <w:sz w:val="22"/>
          <w:szCs w:val="22"/>
        </w:rPr>
        <w:t>Federal law prohibits discrimination on the basis of race, color or national origin (Title VI of the Civil Rights Act of 1964); sex (Title IX of the Educational Amendments of 1972, Title 11 of the Carl D. Perkins Vocational Education Act of 1984, Title VI of the Civil Rights Act of 1964 and Equal Pay Act of 1963); age (Age Discrimination in Employment Act of 1967); handicap (Section 504 of the Rehabilitation Act of 1973); disability (Title I and Title V of the Americans with Disabilities Act of 1990); genetic information (Title 11 of the Genetic Information Nondiscrimination Act of 2008); or retaliation in educational programs, employment or activities receiving federal financial assistance.</w:t>
      </w:r>
      <w:proofErr w:type="gramEnd"/>
    </w:p>
    <w:p w:rsidR="0095572E" w:rsidRPr="0095572E" w:rsidRDefault="0095572E" w:rsidP="0095572E">
      <w:pPr>
        <w:pStyle w:val="NormalWeb"/>
        <w:shd w:val="clear" w:color="auto" w:fill="FFFFFF"/>
        <w:rPr>
          <w:rFonts w:ascii="Arial" w:hAnsi="Arial" w:cs="Arial"/>
          <w:color w:val="424242"/>
          <w:sz w:val="22"/>
          <w:szCs w:val="22"/>
        </w:rPr>
      </w:pPr>
      <w:r w:rsidRPr="0095572E">
        <w:rPr>
          <w:rFonts w:ascii="Arial" w:hAnsi="Arial" w:cs="Arial"/>
          <w:color w:val="424242"/>
          <w:sz w:val="22"/>
          <w:szCs w:val="22"/>
        </w:rPr>
        <w:t xml:space="preserve">Employees, students and the </w:t>
      </w:r>
      <w:r w:rsidRPr="0095572E">
        <w:rPr>
          <w:rFonts w:ascii="Arial" w:hAnsi="Arial" w:cs="Arial"/>
          <w:color w:val="424242"/>
          <w:sz w:val="22"/>
          <w:szCs w:val="22"/>
        </w:rPr>
        <w:t>public</w:t>
      </w:r>
      <w:r w:rsidRPr="0095572E">
        <w:rPr>
          <w:rFonts w:ascii="Arial" w:hAnsi="Arial" w:cs="Arial"/>
          <w:color w:val="424242"/>
          <w:sz w:val="22"/>
          <w:szCs w:val="22"/>
        </w:rPr>
        <w:t xml:space="preserve"> </w:t>
      </w:r>
      <w:proofErr w:type="gramStart"/>
      <w:r w:rsidRPr="0095572E">
        <w:rPr>
          <w:rFonts w:ascii="Arial" w:hAnsi="Arial" w:cs="Arial"/>
          <w:color w:val="424242"/>
          <w:sz w:val="22"/>
          <w:szCs w:val="22"/>
        </w:rPr>
        <w:t>are hereby notified</w:t>
      </w:r>
      <w:proofErr w:type="gramEnd"/>
      <w:r w:rsidRPr="0095572E">
        <w:rPr>
          <w:rFonts w:ascii="Arial" w:hAnsi="Arial" w:cs="Arial"/>
          <w:color w:val="424242"/>
          <w:sz w:val="22"/>
          <w:szCs w:val="22"/>
        </w:rPr>
        <w:t xml:space="preserve"> that the Wilcox County Board of Education does not discriminate in any educational programs or activities or in its employment policies or practices. The Wilcox County Career and Technical Education Department does not discriminate in enrollment or access to any of the programs available. The lack of English language skills shall not be a barrier to admission or participation in the district’s activities or programs. Wilcox County School System offers the following career and technical education programs for all students</w:t>
      </w:r>
      <w:proofErr w:type="gramStart"/>
      <w:r w:rsidRPr="0095572E">
        <w:rPr>
          <w:rFonts w:ascii="Arial" w:hAnsi="Arial" w:cs="Arial"/>
          <w:color w:val="424242"/>
          <w:sz w:val="22"/>
          <w:szCs w:val="22"/>
        </w:rPr>
        <w:t>:</w:t>
      </w:r>
      <w:proofErr w:type="gramEnd"/>
      <w:r w:rsidRPr="0095572E">
        <w:rPr>
          <w:rFonts w:ascii="Arial" w:hAnsi="Arial" w:cs="Arial"/>
          <w:color w:val="424242"/>
          <w:sz w:val="22"/>
          <w:szCs w:val="22"/>
        </w:rPr>
        <w:br/>
        <w:t>Agriculture, Food, and Natural Resources Business Management and Administration Human Services</w:t>
      </w:r>
    </w:p>
    <w:p w:rsidR="0095572E" w:rsidRPr="0095572E" w:rsidRDefault="0095572E" w:rsidP="0095572E">
      <w:pPr>
        <w:pStyle w:val="NormalWeb"/>
        <w:shd w:val="clear" w:color="auto" w:fill="FFFFFF"/>
        <w:rPr>
          <w:rFonts w:ascii="Arial" w:hAnsi="Arial" w:cs="Arial"/>
          <w:color w:val="424242"/>
          <w:sz w:val="22"/>
          <w:szCs w:val="22"/>
        </w:rPr>
      </w:pPr>
      <w:r w:rsidRPr="0095572E">
        <w:rPr>
          <w:rFonts w:ascii="Arial" w:hAnsi="Arial" w:cs="Arial"/>
          <w:color w:val="424242"/>
          <w:sz w:val="22"/>
          <w:szCs w:val="22"/>
        </w:rPr>
        <w:t xml:space="preserve">The Wilcox County School System does not discriminate </w:t>
      </w:r>
      <w:proofErr w:type="gramStart"/>
      <w:r w:rsidRPr="0095572E">
        <w:rPr>
          <w:rFonts w:ascii="Arial" w:hAnsi="Arial" w:cs="Arial"/>
          <w:color w:val="424242"/>
          <w:sz w:val="22"/>
          <w:szCs w:val="22"/>
        </w:rPr>
        <w:t>on the basis of</w:t>
      </w:r>
      <w:proofErr w:type="gramEnd"/>
      <w:r w:rsidRPr="0095572E">
        <w:rPr>
          <w:rFonts w:ascii="Arial" w:hAnsi="Arial" w:cs="Arial"/>
          <w:color w:val="424242"/>
          <w:sz w:val="22"/>
          <w:szCs w:val="22"/>
        </w:rPr>
        <w:t xml:space="preserve"> race, color, national origin, sex, age, or disability in admission to its programs, services, or activities, in access to them, in treatment of individuals, or in any aspect of their operations.</w:t>
      </w:r>
    </w:p>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 xml:space="preserve">Questions, complaints, or requests for additional information regarding these laws </w:t>
      </w:r>
      <w:proofErr w:type="gramStart"/>
      <w:r w:rsidRPr="0095572E">
        <w:rPr>
          <w:rFonts w:ascii="Arial" w:hAnsi="Arial" w:cs="Arial"/>
          <w:color w:val="424242"/>
          <w:sz w:val="22"/>
          <w:szCs w:val="22"/>
        </w:rPr>
        <w:t>may be forwarded</w:t>
      </w:r>
      <w:proofErr w:type="gramEnd"/>
      <w:r w:rsidRPr="0095572E">
        <w:rPr>
          <w:rFonts w:ascii="Arial" w:hAnsi="Arial" w:cs="Arial"/>
          <w:color w:val="424242"/>
          <w:sz w:val="22"/>
          <w:szCs w:val="22"/>
        </w:rPr>
        <w:t xml:space="preserve"> to the designated compliance coordinator(s):</w:t>
      </w:r>
    </w:p>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p>
    <w:tbl>
      <w:tblPr>
        <w:tblStyle w:val="TableGrid"/>
        <w:tblW w:w="0" w:type="auto"/>
        <w:tblLook w:val="04A0" w:firstRow="1" w:lastRow="0" w:firstColumn="1" w:lastColumn="0" w:noHBand="0" w:noVBand="1"/>
      </w:tblPr>
      <w:tblGrid>
        <w:gridCol w:w="4135"/>
        <w:gridCol w:w="5215"/>
      </w:tblGrid>
      <w:tr w:rsidR="0095572E" w:rsidRPr="0095572E" w:rsidTr="0095572E">
        <w:tc>
          <w:tcPr>
            <w:tcW w:w="4135" w:type="dxa"/>
          </w:tcPr>
          <w:p w:rsidR="0095572E" w:rsidRPr="0095572E" w:rsidRDefault="0095572E" w:rsidP="0095572E">
            <w:pPr>
              <w:pStyle w:val="NormalWeb"/>
              <w:shd w:val="clear" w:color="auto" w:fill="FFFFFF"/>
              <w:rPr>
                <w:rStyle w:val="Strong"/>
                <w:rFonts w:ascii="Arial" w:hAnsi="Arial" w:cs="Arial"/>
                <w:color w:val="424242"/>
                <w:sz w:val="22"/>
                <w:szCs w:val="22"/>
              </w:rPr>
            </w:pPr>
            <w:r w:rsidRPr="0095572E">
              <w:rPr>
                <w:rStyle w:val="Strong"/>
                <w:rFonts w:ascii="Arial" w:hAnsi="Arial" w:cs="Arial"/>
                <w:color w:val="424242"/>
                <w:sz w:val="22"/>
                <w:szCs w:val="22"/>
              </w:rPr>
              <w:t>Aleph Fore – Federal Programs Director</w:t>
            </w:r>
            <w:r w:rsidRPr="0095572E">
              <w:rPr>
                <w:rFonts w:ascii="Arial" w:hAnsi="Arial" w:cs="Arial"/>
                <w:color w:val="424242"/>
                <w:sz w:val="22"/>
                <w:szCs w:val="22"/>
              </w:rPr>
              <w:br/>
              <w:t>229-467-2141 ext. 30</w:t>
            </w:r>
            <w:r w:rsidRPr="0095572E">
              <w:rPr>
                <w:rFonts w:ascii="Arial" w:hAnsi="Arial" w:cs="Arial"/>
                <w:color w:val="424242"/>
                <w:sz w:val="22"/>
                <w:szCs w:val="22"/>
              </w:rPr>
              <w:br/>
              <w:t>Wilcox County Board of Education</w:t>
            </w:r>
            <w:r w:rsidRPr="0095572E">
              <w:rPr>
                <w:rFonts w:ascii="Arial" w:hAnsi="Arial" w:cs="Arial"/>
                <w:color w:val="424242"/>
                <w:sz w:val="22"/>
                <w:szCs w:val="22"/>
              </w:rPr>
              <w:br/>
              <w:t>395 College Street</w:t>
            </w:r>
            <w:r w:rsidRPr="0095572E">
              <w:rPr>
                <w:rFonts w:ascii="Arial" w:hAnsi="Arial" w:cs="Arial"/>
                <w:color w:val="424242"/>
                <w:sz w:val="22"/>
                <w:szCs w:val="22"/>
              </w:rPr>
              <w:br/>
              <w:t>Abbeville, GA 31001</w:t>
            </w:r>
            <w:r w:rsidRPr="0095572E">
              <w:rPr>
                <w:rFonts w:ascii="Arial" w:hAnsi="Arial" w:cs="Arial"/>
                <w:color w:val="424242"/>
                <w:sz w:val="22"/>
                <w:szCs w:val="22"/>
              </w:rPr>
              <w:br/>
              <w:t>forea@wilcoxcountyschools.org</w:t>
            </w:r>
          </w:p>
        </w:tc>
        <w:tc>
          <w:tcPr>
            <w:tcW w:w="5215" w:type="dxa"/>
          </w:tcPr>
          <w:p w:rsidR="0095572E" w:rsidRPr="0095572E" w:rsidRDefault="0095572E" w:rsidP="0095572E">
            <w:pPr>
              <w:pStyle w:val="NormalWeb"/>
              <w:shd w:val="clear" w:color="auto" w:fill="FFFFFF"/>
              <w:spacing w:before="0" w:beforeAutospacing="0" w:after="0" w:afterAutospacing="0"/>
              <w:rPr>
                <w:rStyle w:val="Strong"/>
                <w:rFonts w:ascii="Arial" w:hAnsi="Arial" w:cs="Arial"/>
                <w:color w:val="424242"/>
                <w:sz w:val="22"/>
                <w:szCs w:val="22"/>
              </w:rPr>
            </w:pPr>
            <w:r w:rsidRPr="0095572E">
              <w:rPr>
                <w:rFonts w:ascii="Arial" w:hAnsi="Arial" w:cs="Arial"/>
                <w:color w:val="424242"/>
                <w:sz w:val="22"/>
                <w:szCs w:val="22"/>
              </w:rPr>
              <w:t>Title II of the Americans with Disabilities Act</w:t>
            </w:r>
            <w:r w:rsidRPr="0095572E">
              <w:rPr>
                <w:rFonts w:ascii="Arial" w:hAnsi="Arial" w:cs="Arial"/>
                <w:color w:val="424242"/>
                <w:sz w:val="22"/>
                <w:szCs w:val="22"/>
              </w:rPr>
              <w:br/>
              <w:t>Title IX of the Education Amendments of 1972</w:t>
            </w:r>
            <w:r w:rsidRPr="0095572E">
              <w:rPr>
                <w:rFonts w:ascii="Arial" w:hAnsi="Arial" w:cs="Arial"/>
                <w:color w:val="424242"/>
                <w:sz w:val="22"/>
                <w:szCs w:val="22"/>
              </w:rPr>
              <w:br/>
              <w:t>Title VI of the Civil Rights Act of 1964</w:t>
            </w:r>
            <w:r w:rsidRPr="0095572E">
              <w:rPr>
                <w:rFonts w:ascii="Arial" w:hAnsi="Arial" w:cs="Arial"/>
                <w:color w:val="424242"/>
                <w:sz w:val="22"/>
                <w:szCs w:val="22"/>
              </w:rPr>
              <w:br/>
              <w:t>Equal Pay Act of 1963</w:t>
            </w:r>
            <w:r w:rsidRPr="0095572E">
              <w:rPr>
                <w:rFonts w:ascii="Arial" w:hAnsi="Arial" w:cs="Arial"/>
                <w:color w:val="424242"/>
                <w:sz w:val="22"/>
                <w:szCs w:val="22"/>
              </w:rPr>
              <w:br/>
              <w:t>The Age Discrimination Act of 1975</w:t>
            </w:r>
            <w:r w:rsidRPr="0095572E">
              <w:rPr>
                <w:rFonts w:ascii="Arial" w:hAnsi="Arial" w:cs="Arial"/>
                <w:color w:val="424242"/>
                <w:sz w:val="22"/>
                <w:szCs w:val="22"/>
              </w:rPr>
              <w:br/>
              <w:t>The Americans with Disabilities Act of 1990</w:t>
            </w:r>
          </w:p>
        </w:tc>
      </w:tr>
      <w:tr w:rsidR="0095572E" w:rsidRPr="0095572E" w:rsidTr="0095572E">
        <w:tc>
          <w:tcPr>
            <w:tcW w:w="4135" w:type="dxa"/>
          </w:tcPr>
          <w:p w:rsidR="0095572E" w:rsidRPr="0095572E" w:rsidRDefault="0095572E" w:rsidP="0095572E">
            <w:pPr>
              <w:pStyle w:val="NormalWeb"/>
              <w:shd w:val="clear" w:color="auto" w:fill="FFFFFF"/>
              <w:rPr>
                <w:rStyle w:val="Strong"/>
                <w:rFonts w:ascii="Arial" w:hAnsi="Arial" w:cs="Arial"/>
                <w:color w:val="424242"/>
                <w:sz w:val="22"/>
                <w:szCs w:val="22"/>
              </w:rPr>
            </w:pPr>
            <w:r w:rsidRPr="0095572E">
              <w:rPr>
                <w:rStyle w:val="Strong"/>
                <w:rFonts w:ascii="Arial" w:hAnsi="Arial" w:cs="Arial"/>
                <w:color w:val="424242"/>
                <w:sz w:val="22"/>
                <w:szCs w:val="22"/>
              </w:rPr>
              <w:t>Nathan Gibbs – CTAE &amp; 504 Director</w:t>
            </w:r>
            <w:r w:rsidRPr="0095572E">
              <w:rPr>
                <w:rFonts w:ascii="Arial" w:hAnsi="Arial" w:cs="Arial"/>
                <w:color w:val="424242"/>
                <w:sz w:val="22"/>
                <w:szCs w:val="22"/>
              </w:rPr>
              <w:br/>
              <w:t>229-467-2141 ext. 26</w:t>
            </w:r>
            <w:r w:rsidRPr="0095572E">
              <w:rPr>
                <w:rFonts w:ascii="Arial" w:hAnsi="Arial" w:cs="Arial"/>
                <w:color w:val="424242"/>
                <w:sz w:val="22"/>
                <w:szCs w:val="22"/>
              </w:rPr>
              <w:br/>
              <w:t>Wilcox County Board of Education</w:t>
            </w:r>
            <w:r w:rsidRPr="0095572E">
              <w:rPr>
                <w:rFonts w:ascii="Arial" w:hAnsi="Arial" w:cs="Arial"/>
                <w:color w:val="424242"/>
                <w:sz w:val="22"/>
                <w:szCs w:val="22"/>
              </w:rPr>
              <w:br/>
              <w:t>395 College Street West</w:t>
            </w:r>
            <w:r w:rsidRPr="0095572E">
              <w:rPr>
                <w:rFonts w:ascii="Arial" w:hAnsi="Arial" w:cs="Arial"/>
                <w:color w:val="424242"/>
                <w:sz w:val="22"/>
                <w:szCs w:val="22"/>
              </w:rPr>
              <w:br/>
              <w:t>Abbeville, GA 31001</w:t>
            </w:r>
            <w:r w:rsidRPr="0095572E">
              <w:rPr>
                <w:rFonts w:ascii="Arial" w:hAnsi="Arial" w:cs="Arial"/>
                <w:color w:val="424242"/>
                <w:sz w:val="22"/>
                <w:szCs w:val="22"/>
              </w:rPr>
              <w:br/>
              <w:t>gibbsn@wilcoxcountyschools.org</w:t>
            </w:r>
          </w:p>
        </w:tc>
        <w:tc>
          <w:tcPr>
            <w:tcW w:w="5215" w:type="dxa"/>
          </w:tcPr>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Section 504 of the Rehabilitation Act of 1973</w:t>
            </w:r>
            <w:r w:rsidRPr="0095572E">
              <w:rPr>
                <w:rFonts w:ascii="Arial" w:hAnsi="Arial" w:cs="Arial"/>
                <w:color w:val="424242"/>
                <w:sz w:val="22"/>
                <w:szCs w:val="22"/>
              </w:rPr>
              <w:br/>
              <w:t>Title II of the Carl D. Perkins Vocational Ed. Act of 1984</w:t>
            </w:r>
          </w:p>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p>
        </w:tc>
      </w:tr>
      <w:tr w:rsidR="0095572E" w:rsidRPr="0095572E" w:rsidTr="00A8687B">
        <w:tc>
          <w:tcPr>
            <w:tcW w:w="9350" w:type="dxa"/>
            <w:gridSpan w:val="2"/>
          </w:tcPr>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 xml:space="preserve">Regional Office for </w:t>
            </w:r>
            <w:r w:rsidRPr="0095572E">
              <w:rPr>
                <w:rFonts w:ascii="Arial" w:hAnsi="Arial" w:cs="Arial"/>
                <w:color w:val="424242"/>
                <w:sz w:val="22"/>
                <w:szCs w:val="22"/>
              </w:rPr>
              <w:t>Civil Rights, Atlanta, GA 30323</w:t>
            </w:r>
          </w:p>
        </w:tc>
      </w:tr>
      <w:tr w:rsidR="0095572E" w:rsidRPr="0095572E" w:rsidTr="00A8687B">
        <w:tc>
          <w:tcPr>
            <w:tcW w:w="9350" w:type="dxa"/>
            <w:gridSpan w:val="2"/>
          </w:tcPr>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Director, Office for Civil Rights, Education Depa</w:t>
            </w:r>
            <w:r w:rsidRPr="0095572E">
              <w:rPr>
                <w:rFonts w:ascii="Arial" w:hAnsi="Arial" w:cs="Arial"/>
                <w:color w:val="424242"/>
                <w:sz w:val="22"/>
                <w:szCs w:val="22"/>
              </w:rPr>
              <w:t>rtment, Washington , D.C. 20201</w:t>
            </w:r>
          </w:p>
        </w:tc>
      </w:tr>
      <w:tr w:rsidR="0095572E" w:rsidRPr="0095572E" w:rsidTr="00A8687B">
        <w:tc>
          <w:tcPr>
            <w:tcW w:w="9350" w:type="dxa"/>
            <w:gridSpan w:val="2"/>
          </w:tcPr>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U.S. Equal Employment Opportunity Commission (EEOC), 1-800-669-4000 (toll-free) or 1-800-669-6820 (toll-free TTY number for individuals with hearing impairments).</w:t>
            </w:r>
          </w:p>
        </w:tc>
      </w:tr>
      <w:tr w:rsidR="0095572E" w:rsidRPr="0095572E" w:rsidTr="00A8687B">
        <w:tc>
          <w:tcPr>
            <w:tcW w:w="9350" w:type="dxa"/>
            <w:gridSpan w:val="2"/>
          </w:tcPr>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EEOC field office information is available at www.eeoc.govor in most telephone directories in the U.S. Government or Federal Government section. Additional information about EEOC, including information about charge filing, is available at www.eeoc.gov.</w:t>
            </w:r>
          </w:p>
        </w:tc>
      </w:tr>
    </w:tbl>
    <w:p w:rsidR="0095572E" w:rsidRPr="0095572E" w:rsidRDefault="0095572E" w:rsidP="0095572E">
      <w:pPr>
        <w:pStyle w:val="NormalWeb"/>
        <w:shd w:val="clear" w:color="auto" w:fill="FFFFFF"/>
        <w:spacing w:before="0" w:beforeAutospacing="0" w:after="0" w:afterAutospacing="0"/>
        <w:rPr>
          <w:rFonts w:ascii="Arial" w:hAnsi="Arial" w:cs="Arial"/>
          <w:color w:val="424242"/>
          <w:sz w:val="22"/>
          <w:szCs w:val="22"/>
        </w:rPr>
      </w:pPr>
      <w:r w:rsidRPr="0095572E">
        <w:rPr>
          <w:rFonts w:ascii="Arial" w:hAnsi="Arial" w:cs="Arial"/>
          <w:color w:val="424242"/>
          <w:sz w:val="22"/>
          <w:szCs w:val="22"/>
        </w:rPr>
        <w:t xml:space="preserve"> </w:t>
      </w:r>
    </w:p>
    <w:p w:rsidR="0068261D" w:rsidRPr="0095572E" w:rsidRDefault="0068261D"/>
    <w:sectPr w:rsidR="0068261D" w:rsidRPr="009557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EB" w:rsidRDefault="008524EB" w:rsidP="0095572E">
      <w:pPr>
        <w:spacing w:after="0" w:line="240" w:lineRule="auto"/>
      </w:pPr>
      <w:r>
        <w:separator/>
      </w:r>
    </w:p>
  </w:endnote>
  <w:endnote w:type="continuationSeparator" w:id="0">
    <w:p w:rsidR="008524EB" w:rsidRDefault="008524EB" w:rsidP="0095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EB" w:rsidRDefault="008524EB" w:rsidP="0095572E">
      <w:pPr>
        <w:spacing w:after="0" w:line="240" w:lineRule="auto"/>
      </w:pPr>
      <w:r>
        <w:separator/>
      </w:r>
    </w:p>
  </w:footnote>
  <w:footnote w:type="continuationSeparator" w:id="0">
    <w:p w:rsidR="008524EB" w:rsidRDefault="008524EB" w:rsidP="0095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rsidP="0095572E">
    <w:pPr>
      <w:pStyle w:val="Header"/>
      <w:jc w:val="center"/>
    </w:pPr>
    <w:bookmarkStart w:id="0" w:name="_GoBack"/>
    <w:r>
      <w:t>Wilcox County PK-12 Schools</w:t>
    </w:r>
    <w:r>
      <w:br/>
      <w:t>Non-Discrimination Statement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2E" w:rsidRDefault="00955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2E"/>
    <w:rsid w:val="0068261D"/>
    <w:rsid w:val="008524EB"/>
    <w:rsid w:val="0095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6241B"/>
  <w15:chartTrackingRefBased/>
  <w15:docId w15:val="{13A8743B-C291-4092-87C1-DC5183C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72E"/>
    <w:rPr>
      <w:b/>
      <w:bCs/>
    </w:rPr>
  </w:style>
  <w:style w:type="table" w:styleId="TableGrid">
    <w:name w:val="Table Grid"/>
    <w:basedOn w:val="TableNormal"/>
    <w:uiPriority w:val="39"/>
    <w:rsid w:val="0095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2E"/>
  </w:style>
  <w:style w:type="paragraph" w:styleId="Footer">
    <w:name w:val="footer"/>
    <w:basedOn w:val="Normal"/>
    <w:link w:val="FooterChar"/>
    <w:uiPriority w:val="99"/>
    <w:unhideWhenUsed/>
    <w:rsid w:val="0095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9023">
      <w:bodyDiv w:val="1"/>
      <w:marLeft w:val="0"/>
      <w:marRight w:val="0"/>
      <w:marTop w:val="0"/>
      <w:marBottom w:val="0"/>
      <w:divBdr>
        <w:top w:val="none" w:sz="0" w:space="0" w:color="auto"/>
        <w:left w:val="none" w:sz="0" w:space="0" w:color="auto"/>
        <w:bottom w:val="none" w:sz="0" w:space="0" w:color="auto"/>
        <w:right w:val="none" w:sz="0" w:space="0" w:color="auto"/>
      </w:divBdr>
      <w:divsChild>
        <w:div w:id="333915910">
          <w:marLeft w:val="0"/>
          <w:marRight w:val="0"/>
          <w:marTop w:val="0"/>
          <w:marBottom w:val="0"/>
          <w:divBdr>
            <w:top w:val="none" w:sz="0" w:space="0" w:color="auto"/>
            <w:left w:val="none" w:sz="0" w:space="0" w:color="auto"/>
            <w:bottom w:val="none" w:sz="0" w:space="0" w:color="auto"/>
            <w:right w:val="none" w:sz="0" w:space="0" w:color="auto"/>
          </w:divBdr>
          <w:divsChild>
            <w:div w:id="1059088699">
              <w:marLeft w:val="0"/>
              <w:marRight w:val="0"/>
              <w:marTop w:val="0"/>
              <w:marBottom w:val="0"/>
              <w:divBdr>
                <w:top w:val="none" w:sz="0" w:space="0" w:color="auto"/>
                <w:left w:val="none" w:sz="0" w:space="0" w:color="auto"/>
                <w:bottom w:val="none" w:sz="0" w:space="0" w:color="auto"/>
                <w:right w:val="none" w:sz="0" w:space="0" w:color="auto"/>
              </w:divBdr>
            </w:div>
          </w:divsChild>
        </w:div>
        <w:div w:id="156960330">
          <w:marLeft w:val="0"/>
          <w:marRight w:val="0"/>
          <w:marTop w:val="0"/>
          <w:marBottom w:val="0"/>
          <w:divBdr>
            <w:top w:val="none" w:sz="0" w:space="0" w:color="auto"/>
            <w:left w:val="none" w:sz="0" w:space="0" w:color="auto"/>
            <w:bottom w:val="none" w:sz="0" w:space="0" w:color="auto"/>
            <w:right w:val="none" w:sz="0" w:space="0" w:color="auto"/>
          </w:divBdr>
          <w:divsChild>
            <w:div w:id="999692763">
              <w:marLeft w:val="0"/>
              <w:marRight w:val="0"/>
              <w:marTop w:val="0"/>
              <w:marBottom w:val="0"/>
              <w:divBdr>
                <w:top w:val="none" w:sz="0" w:space="0" w:color="auto"/>
                <w:left w:val="none" w:sz="0" w:space="0" w:color="auto"/>
                <w:bottom w:val="none" w:sz="0" w:space="0" w:color="auto"/>
                <w:right w:val="none" w:sz="0" w:space="0" w:color="auto"/>
              </w:divBdr>
              <w:divsChild>
                <w:div w:id="1030491035">
                  <w:marLeft w:val="0"/>
                  <w:marRight w:val="0"/>
                  <w:marTop w:val="0"/>
                  <w:marBottom w:val="0"/>
                  <w:divBdr>
                    <w:top w:val="none" w:sz="0" w:space="0" w:color="auto"/>
                    <w:left w:val="none" w:sz="0" w:space="0" w:color="auto"/>
                    <w:bottom w:val="none" w:sz="0" w:space="0" w:color="auto"/>
                    <w:right w:val="none" w:sz="0" w:space="0" w:color="auto"/>
                  </w:divBdr>
                  <w:divsChild>
                    <w:div w:id="340470455">
                      <w:marLeft w:val="0"/>
                      <w:marRight w:val="0"/>
                      <w:marTop w:val="0"/>
                      <w:marBottom w:val="0"/>
                      <w:divBdr>
                        <w:top w:val="none" w:sz="0" w:space="0" w:color="auto"/>
                        <w:left w:val="none" w:sz="0" w:space="0" w:color="auto"/>
                        <w:bottom w:val="none" w:sz="0" w:space="0" w:color="auto"/>
                        <w:right w:val="none" w:sz="0" w:space="0" w:color="auto"/>
                      </w:divBdr>
                      <w:divsChild>
                        <w:div w:id="2031950930">
                          <w:marLeft w:val="0"/>
                          <w:marRight w:val="0"/>
                          <w:marTop w:val="0"/>
                          <w:marBottom w:val="0"/>
                          <w:divBdr>
                            <w:top w:val="none" w:sz="0" w:space="0" w:color="auto"/>
                            <w:left w:val="none" w:sz="0" w:space="0" w:color="auto"/>
                            <w:bottom w:val="none" w:sz="0" w:space="0" w:color="auto"/>
                            <w:right w:val="none" w:sz="0" w:space="0" w:color="auto"/>
                          </w:divBdr>
                          <w:divsChild>
                            <w:div w:id="522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54548">
              <w:marLeft w:val="0"/>
              <w:marRight w:val="0"/>
              <w:marTop w:val="0"/>
              <w:marBottom w:val="0"/>
              <w:divBdr>
                <w:top w:val="none" w:sz="0" w:space="0" w:color="auto"/>
                <w:left w:val="none" w:sz="0" w:space="0" w:color="auto"/>
                <w:bottom w:val="none" w:sz="0" w:space="0" w:color="auto"/>
                <w:right w:val="none" w:sz="0" w:space="0" w:color="auto"/>
              </w:divBdr>
              <w:divsChild>
                <w:div w:id="1244413321">
                  <w:marLeft w:val="0"/>
                  <w:marRight w:val="0"/>
                  <w:marTop w:val="0"/>
                  <w:marBottom w:val="0"/>
                  <w:divBdr>
                    <w:top w:val="none" w:sz="0" w:space="0" w:color="auto"/>
                    <w:left w:val="none" w:sz="0" w:space="0" w:color="auto"/>
                    <w:bottom w:val="none" w:sz="0" w:space="0" w:color="auto"/>
                    <w:right w:val="none" w:sz="0" w:space="0" w:color="auto"/>
                  </w:divBdr>
                  <w:divsChild>
                    <w:div w:id="925265983">
                      <w:marLeft w:val="0"/>
                      <w:marRight w:val="0"/>
                      <w:marTop w:val="0"/>
                      <w:marBottom w:val="0"/>
                      <w:divBdr>
                        <w:top w:val="none" w:sz="0" w:space="0" w:color="auto"/>
                        <w:left w:val="none" w:sz="0" w:space="0" w:color="auto"/>
                        <w:bottom w:val="none" w:sz="0" w:space="0" w:color="auto"/>
                        <w:right w:val="none" w:sz="0" w:space="0" w:color="auto"/>
                      </w:divBdr>
                      <w:divsChild>
                        <w:div w:id="1041631894">
                          <w:marLeft w:val="0"/>
                          <w:marRight w:val="0"/>
                          <w:marTop w:val="0"/>
                          <w:marBottom w:val="0"/>
                          <w:divBdr>
                            <w:top w:val="none" w:sz="0" w:space="0" w:color="auto"/>
                            <w:left w:val="none" w:sz="0" w:space="0" w:color="auto"/>
                            <w:bottom w:val="none" w:sz="0" w:space="0" w:color="auto"/>
                            <w:right w:val="none" w:sz="0" w:space="0" w:color="auto"/>
                          </w:divBdr>
                          <w:divsChild>
                            <w:div w:id="21205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23909">
          <w:marLeft w:val="0"/>
          <w:marRight w:val="0"/>
          <w:marTop w:val="0"/>
          <w:marBottom w:val="0"/>
          <w:divBdr>
            <w:top w:val="none" w:sz="0" w:space="0" w:color="auto"/>
            <w:left w:val="none" w:sz="0" w:space="0" w:color="auto"/>
            <w:bottom w:val="none" w:sz="0" w:space="0" w:color="auto"/>
            <w:right w:val="none" w:sz="0" w:space="0" w:color="auto"/>
          </w:divBdr>
          <w:divsChild>
            <w:div w:id="1302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Aleph Fore</dc:creator>
  <cp:keywords/>
  <dc:description/>
  <cp:lastModifiedBy>Aleph Fore</cp:lastModifiedBy>
  <cp:revision>1</cp:revision>
  <dcterms:created xsi:type="dcterms:W3CDTF">2022-11-10T18:43:00Z</dcterms:created>
  <dcterms:modified xsi:type="dcterms:W3CDTF">2022-11-10T18:49:00Z</dcterms:modified>
</cp:coreProperties>
</file>